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480" w:lineRule="auto"/>
        <w:jc w:val="center"/>
        <w:rPr>
          <w:rFonts w:cs="Arial"/>
          <w:b/>
          <w:bCs/>
          <w:sz w:val="24"/>
          <w:szCs w:val="24"/>
          <w:shd w:val="clear" w:color="auto" w:fill="FFFFFF"/>
        </w:rPr>
      </w:pPr>
      <w:bookmarkStart w:id="0" w:name="_Hlk137642178"/>
      <w:r>
        <w:rPr>
          <w:rFonts w:cs="Arial"/>
          <w:b/>
          <w:bCs/>
          <w:iCs/>
          <w:sz w:val="24"/>
          <w:szCs w:val="24"/>
          <w:shd w:val="clear" w:color="auto" w:fill="FFFFFF"/>
        </w:rPr>
        <w:t>DER INTERNATIONAL ANXIETY QUESTIONNAIRE</w:t>
      </w:r>
      <w:r>
        <w:rPr>
          <w:rFonts w:cs="Arial"/>
          <w:b/>
          <w:bCs/>
          <w:sz w:val="24"/>
          <w:szCs w:val="24"/>
          <w:shd w:val="clear" w:color="auto" w:fill="FFFFFF"/>
        </w:rPr>
        <w:t xml:space="preserve"> (IAQ) – DEUTSCHE VERSION</w:t>
      </w:r>
    </w:p>
    <w:p>
      <w:pPr>
        <w:pStyle w:val="Default"/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</w:rPr>
        <w:t xml:space="preserve">ÜBERBLICK: Der </w:t>
      </w:r>
      <w:r>
        <w:rPr>
          <w:rFonts w:ascii="Arial" w:hAnsi="Arial" w:cs="Arial"/>
          <w:bCs/>
          <w:i/>
          <w:iCs/>
          <w:shd w:val="clear" w:color="auto" w:fill="FFFFFF"/>
        </w:rPr>
        <w:t>International Anxiety Questionnaire</w:t>
      </w:r>
      <w:r>
        <w:rPr>
          <w:rFonts w:ascii="Arial" w:hAnsi="Arial" w:cs="Arial"/>
          <w:bCs/>
          <w:shd w:val="clear" w:color="auto" w:fill="FFFFFF"/>
        </w:rPr>
        <w:t xml:space="preserve"> (IAQ) – deutsche Version </w:t>
      </w:r>
      <w:proofErr w:type="spellStart"/>
      <w:r>
        <w:rPr>
          <w:rFonts w:ascii="Arial" w:hAnsi="Arial" w:cs="Arial"/>
          <w:bCs/>
          <w:shd w:val="clear" w:color="auto" w:fill="FFFFFF"/>
        </w:rPr>
        <w:t>ist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ein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Fragebogen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zur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Erfassung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der </w:t>
      </w:r>
      <w:proofErr w:type="spellStart"/>
      <w:r>
        <w:rPr>
          <w:rFonts w:ascii="Arial" w:hAnsi="Arial" w:cs="Arial"/>
          <w:bCs/>
          <w:shd w:val="clear" w:color="auto" w:fill="FFFFFF"/>
        </w:rPr>
        <w:t>generalisierten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Angststörung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gemäß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ICD-11 (ICD-11 </w:t>
      </w:r>
      <w:proofErr w:type="spellStart"/>
      <w:r>
        <w:rPr>
          <w:rFonts w:ascii="Arial" w:hAnsi="Arial" w:cs="Arial"/>
          <w:bCs/>
          <w:shd w:val="clear" w:color="auto" w:fill="FFFFFF"/>
        </w:rPr>
        <w:t>Diagnoseschlüssel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Style w:val="icode"/>
          <w:rFonts w:ascii="Arial" w:hAnsi="Arial" w:cs="Arial"/>
          <w:bCs/>
          <w:color w:val="404040"/>
          <w:shd w:val="clear" w:color="auto" w:fill="FFFFFF"/>
        </w:rPr>
        <w:t>6B00</w:t>
      </w:r>
      <w:r>
        <w:rPr>
          <w:rFonts w:ascii="Arial" w:hAnsi="Arial" w:cs="Arial"/>
          <w:bCs/>
          <w:shd w:val="clear" w:color="auto" w:fill="FFFFFF"/>
        </w:rPr>
        <w:t xml:space="preserve">). </w:t>
      </w:r>
      <w:proofErr w:type="spellStart"/>
      <w:r>
        <w:rPr>
          <w:rFonts w:ascii="Arial" w:hAnsi="Arial" w:cs="Arial"/>
          <w:bCs/>
          <w:shd w:val="clear" w:color="auto" w:fill="FFFFFF"/>
        </w:rPr>
        <w:t>Er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kann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zur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Bestimmung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von </w:t>
      </w:r>
      <w:proofErr w:type="spellStart"/>
      <w:r>
        <w:rPr>
          <w:rFonts w:ascii="Arial" w:hAnsi="Arial" w:cs="Arial"/>
          <w:bCs/>
          <w:shd w:val="clear" w:color="auto" w:fill="FFFFFF"/>
        </w:rPr>
        <w:t>Schweregradscores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sowie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zur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Identifizierung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von </w:t>
      </w:r>
      <w:proofErr w:type="spellStart"/>
      <w:r>
        <w:rPr>
          <w:rFonts w:ascii="Arial" w:hAnsi="Arial" w:cs="Arial"/>
          <w:bCs/>
          <w:shd w:val="clear" w:color="auto" w:fill="FFFFFF"/>
        </w:rPr>
        <w:t>Fällen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, die </w:t>
      </w:r>
      <w:proofErr w:type="spellStart"/>
      <w:r>
        <w:rPr>
          <w:rFonts w:ascii="Arial" w:hAnsi="Arial" w:cs="Arial"/>
          <w:bCs/>
          <w:shd w:val="clear" w:color="auto" w:fill="FFFFFF"/>
        </w:rPr>
        <w:t>die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diagnostischen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Kriterien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erfüllen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Cs/>
          <w:shd w:val="clear" w:color="auto" w:fill="FFFFFF"/>
        </w:rPr>
        <w:t>verwendet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werden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. Die </w:t>
      </w:r>
      <w:proofErr w:type="spellStart"/>
      <w:r>
        <w:rPr>
          <w:rFonts w:ascii="Arial" w:hAnsi="Arial" w:cs="Arial"/>
          <w:bCs/>
          <w:shd w:val="clear" w:color="auto" w:fill="FFFFFF"/>
        </w:rPr>
        <w:t>Schweregradbestimmung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beruht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auf </w:t>
      </w:r>
      <w:proofErr w:type="spellStart"/>
      <w:r>
        <w:rPr>
          <w:rFonts w:ascii="Arial" w:hAnsi="Arial" w:cs="Arial"/>
          <w:bCs/>
          <w:shd w:val="clear" w:color="auto" w:fill="FFFFFF"/>
        </w:rPr>
        <w:t>einer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Addition der </w:t>
      </w:r>
      <w:proofErr w:type="spellStart"/>
      <w:r>
        <w:rPr>
          <w:rFonts w:ascii="Arial" w:hAnsi="Arial" w:cs="Arial"/>
          <w:bCs/>
          <w:shd w:val="clear" w:color="auto" w:fill="FFFFFF"/>
        </w:rPr>
        <w:t>Werte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der </w:t>
      </w:r>
      <w:proofErr w:type="spellStart"/>
      <w:r>
        <w:rPr>
          <w:rFonts w:ascii="Arial" w:hAnsi="Arial" w:cs="Arial"/>
          <w:bCs/>
          <w:shd w:val="clear" w:color="auto" w:fill="FFFFFF"/>
        </w:rPr>
        <w:t>acht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Items des IAQ, </w:t>
      </w:r>
      <w:proofErr w:type="spellStart"/>
      <w:r>
        <w:rPr>
          <w:rFonts w:ascii="Arial" w:hAnsi="Arial" w:cs="Arial"/>
          <w:bCs/>
          <w:shd w:val="clear" w:color="auto" w:fill="FFFFFF"/>
        </w:rPr>
        <w:t>wodurch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Summenwerte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von 0 bis 32 </w:t>
      </w:r>
      <w:proofErr w:type="spellStart"/>
      <w:r>
        <w:rPr>
          <w:rFonts w:ascii="Arial" w:hAnsi="Arial" w:cs="Arial"/>
          <w:bCs/>
          <w:shd w:val="clear" w:color="auto" w:fill="FFFFFF"/>
        </w:rPr>
        <w:t>möglich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sind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. Da die </w:t>
      </w:r>
      <w:proofErr w:type="spellStart"/>
      <w:r>
        <w:rPr>
          <w:rFonts w:ascii="Arial" w:hAnsi="Arial" w:cs="Arial"/>
          <w:bCs/>
          <w:shd w:val="clear" w:color="auto" w:fill="FFFFFF"/>
        </w:rPr>
        <w:t>Diagnosestellung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anhand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des </w:t>
      </w:r>
      <w:proofErr w:type="spellStart"/>
      <w:r>
        <w:rPr>
          <w:rFonts w:ascii="Arial" w:hAnsi="Arial" w:cs="Arial"/>
          <w:bCs/>
          <w:shd w:val="clear" w:color="auto" w:fill="FFFFFF"/>
        </w:rPr>
        <w:t>diagnostischen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Algorithmus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der ICD-11 </w:t>
      </w:r>
      <w:proofErr w:type="spellStart"/>
      <w:r>
        <w:rPr>
          <w:rFonts w:ascii="Arial" w:hAnsi="Arial" w:cs="Arial"/>
          <w:bCs/>
          <w:shd w:val="clear" w:color="auto" w:fill="FFFFFF"/>
        </w:rPr>
        <w:t>erfolgen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soll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Cs/>
          <w:shd w:val="clear" w:color="auto" w:fill="FFFFFF"/>
        </w:rPr>
        <w:t>werden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keine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Cut-off-</w:t>
      </w:r>
      <w:proofErr w:type="spellStart"/>
      <w:r>
        <w:rPr>
          <w:rFonts w:ascii="Arial" w:hAnsi="Arial" w:cs="Arial"/>
          <w:bCs/>
          <w:shd w:val="clear" w:color="auto" w:fill="FFFFFF"/>
        </w:rPr>
        <w:t>Werte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für die </w:t>
      </w:r>
      <w:proofErr w:type="spellStart"/>
      <w:r>
        <w:rPr>
          <w:rFonts w:ascii="Arial" w:hAnsi="Arial" w:cs="Arial"/>
          <w:bCs/>
          <w:shd w:val="clear" w:color="auto" w:fill="FFFFFF"/>
        </w:rPr>
        <w:t>Diagnosestellung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vorgeschlagen</w:t>
      </w:r>
      <w:proofErr w:type="spellEnd"/>
      <w:r>
        <w:rPr>
          <w:rFonts w:ascii="Arial" w:hAnsi="Arial" w:cs="Arial"/>
          <w:bCs/>
          <w:shd w:val="clear" w:color="auto" w:fill="FFFFFF"/>
        </w:rPr>
        <w:t>.</w:t>
      </w:r>
    </w:p>
    <w:p>
      <w:pPr>
        <w:pStyle w:val="Default"/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</w:p>
    <w:p>
      <w:pPr>
        <w:pStyle w:val="Default"/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DIAGNOSTISCHER ALGORITHMUS: Die ICD-11 </w:t>
      </w:r>
      <w:proofErr w:type="spellStart"/>
      <w:r>
        <w:rPr>
          <w:rFonts w:ascii="Arial" w:hAnsi="Arial" w:cs="Arial"/>
          <w:bCs/>
          <w:shd w:val="clear" w:color="auto" w:fill="FFFFFF"/>
        </w:rPr>
        <w:t>stellt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fest, </w:t>
      </w:r>
      <w:proofErr w:type="spellStart"/>
      <w:r>
        <w:rPr>
          <w:rFonts w:ascii="Arial" w:hAnsi="Arial" w:cs="Arial"/>
          <w:bCs/>
          <w:shd w:val="clear" w:color="auto" w:fill="FFFFFF"/>
        </w:rPr>
        <w:t>dass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die </w:t>
      </w:r>
      <w:proofErr w:type="spellStart"/>
      <w:r>
        <w:rPr>
          <w:rFonts w:ascii="Arial" w:hAnsi="Arial" w:cs="Arial"/>
          <w:bCs/>
          <w:shd w:val="clear" w:color="auto" w:fill="FFFFFF"/>
        </w:rPr>
        <w:t>generalisierte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Angststörung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die </w:t>
      </w:r>
      <w:proofErr w:type="spellStart"/>
      <w:r>
        <w:rPr>
          <w:rFonts w:ascii="Arial" w:hAnsi="Arial" w:cs="Arial"/>
          <w:bCs/>
          <w:shd w:val="clear" w:color="auto" w:fill="FFFFFF"/>
        </w:rPr>
        <w:t>essentiellen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bCs/>
          <w:shd w:val="clear" w:color="auto" w:fill="FFFFFF"/>
        </w:rPr>
        <w:t>erforderlichen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bCs/>
          <w:shd w:val="clear" w:color="auto" w:fill="FFFFFF"/>
        </w:rPr>
        <w:t>Merkmale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entweder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einer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allgemeinen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Angst, die </w:t>
      </w:r>
      <w:proofErr w:type="spellStart"/>
      <w:r>
        <w:rPr>
          <w:rFonts w:ascii="Arial" w:hAnsi="Arial" w:cs="Arial"/>
          <w:bCs/>
          <w:shd w:val="clear" w:color="auto" w:fill="FFFFFF"/>
        </w:rPr>
        <w:t>sich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nicht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auf </w:t>
      </w:r>
      <w:proofErr w:type="spellStart"/>
      <w:r>
        <w:rPr>
          <w:rFonts w:ascii="Arial" w:hAnsi="Arial" w:cs="Arial"/>
          <w:bCs/>
          <w:shd w:val="clear" w:color="auto" w:fill="FFFFFF"/>
        </w:rPr>
        <w:t>einen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bestimmten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Umweltaspekt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beschränkt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(“</w:t>
      </w:r>
      <w:proofErr w:type="spellStart"/>
      <w:r>
        <w:rPr>
          <w:rFonts w:ascii="Arial" w:hAnsi="Arial" w:cs="Arial"/>
          <w:bCs/>
          <w:shd w:val="clear" w:color="auto" w:fill="FFFFFF"/>
        </w:rPr>
        <w:t>frei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flottierende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Angst”) </w:t>
      </w:r>
      <w:proofErr w:type="spellStart"/>
      <w:r>
        <w:rPr>
          <w:rFonts w:ascii="Arial" w:hAnsi="Arial" w:cs="Arial"/>
          <w:bCs/>
          <w:shd w:val="clear" w:color="auto" w:fill="FFFFFF"/>
        </w:rPr>
        <w:t>oder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eines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exzessiven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sich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Sorgens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bCs/>
          <w:shd w:val="clear" w:color="auto" w:fill="FFFFFF"/>
        </w:rPr>
        <w:t>ängstliche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Erwartung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bCs/>
          <w:shd w:val="clear" w:color="auto" w:fill="FFFFFF"/>
        </w:rPr>
        <w:t>dass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negative </w:t>
      </w:r>
      <w:proofErr w:type="spellStart"/>
      <w:r>
        <w:rPr>
          <w:rFonts w:ascii="Arial" w:hAnsi="Arial" w:cs="Arial"/>
          <w:bCs/>
          <w:shd w:val="clear" w:color="auto" w:fill="FFFFFF"/>
        </w:rPr>
        <w:t>Ereignisse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unterschiedlichen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Bereichen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des </w:t>
      </w:r>
      <w:proofErr w:type="spellStart"/>
      <w:r>
        <w:rPr>
          <w:rFonts w:ascii="Arial" w:hAnsi="Arial" w:cs="Arial"/>
          <w:bCs/>
          <w:shd w:val="clear" w:color="auto" w:fill="FFFFFF"/>
        </w:rPr>
        <w:t>Alltagslebens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bCs/>
          <w:shd w:val="clear" w:color="auto" w:fill="FFFFFF"/>
        </w:rPr>
        <w:t>z.B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. Arbeit, </w:t>
      </w:r>
      <w:proofErr w:type="spellStart"/>
      <w:r>
        <w:rPr>
          <w:rFonts w:ascii="Arial" w:hAnsi="Arial" w:cs="Arial"/>
          <w:bCs/>
          <w:shd w:val="clear" w:color="auto" w:fill="FFFFFF"/>
        </w:rPr>
        <w:t>Finanzen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, Gesundheit, </w:t>
      </w:r>
      <w:proofErr w:type="spellStart"/>
      <w:r>
        <w:rPr>
          <w:rFonts w:ascii="Arial" w:hAnsi="Arial" w:cs="Arial"/>
          <w:bCs/>
          <w:shd w:val="clear" w:color="auto" w:fill="FFFFFF"/>
        </w:rPr>
        <w:t>Familie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bCs/>
          <w:shd w:val="clear" w:color="auto" w:fill="FFFFFF"/>
        </w:rPr>
        <w:t>auftreten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könnten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Cs/>
          <w:shd w:val="clear" w:color="auto" w:fill="FFFFFF"/>
        </w:rPr>
        <w:t>erfordert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bCs/>
          <w:shd w:val="clear" w:color="auto" w:fill="FFFFFF"/>
        </w:rPr>
        <w:t>Darüber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hinaus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wird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festgestellt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Cs/>
          <w:shd w:val="clear" w:color="auto" w:fill="FFFFFF"/>
        </w:rPr>
        <w:t>dass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diese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essentiellen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Merkmale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von </w:t>
      </w:r>
      <w:proofErr w:type="spellStart"/>
      <w:r>
        <w:rPr>
          <w:rFonts w:ascii="Arial" w:hAnsi="Arial" w:cs="Arial"/>
          <w:bCs/>
          <w:shd w:val="clear" w:color="auto" w:fill="FFFFFF"/>
        </w:rPr>
        <w:t>zusätzlichen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charakteristischen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Symptomen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begleitet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werden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sollten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bCs/>
          <w:shd w:val="clear" w:color="auto" w:fill="FFFFFF"/>
        </w:rPr>
        <w:t>Diese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Vorgabe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entspricht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einer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Zustimmung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hinsichtlich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mindestens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vier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der </w:t>
      </w:r>
      <w:proofErr w:type="spellStart"/>
      <w:r>
        <w:rPr>
          <w:rFonts w:ascii="Arial" w:hAnsi="Arial" w:cs="Arial"/>
          <w:bCs/>
          <w:shd w:val="clear" w:color="auto" w:fill="FFFFFF"/>
        </w:rPr>
        <w:t>acht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Items (</w:t>
      </w:r>
      <w:proofErr w:type="spellStart"/>
      <w:r>
        <w:rPr>
          <w:rFonts w:ascii="Arial" w:hAnsi="Arial" w:cs="Arial"/>
          <w:bCs/>
          <w:shd w:val="clear" w:color="auto" w:fill="FFFFFF"/>
        </w:rPr>
        <w:t>operationalisiert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als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Wert </w:t>
      </w:r>
      <w:proofErr w:type="spellStart"/>
      <w:r>
        <w:rPr>
          <w:rFonts w:ascii="Arial" w:hAnsi="Arial" w:cs="Arial"/>
          <w:bCs/>
          <w:shd w:val="clear" w:color="auto" w:fill="FFFFFF"/>
        </w:rPr>
        <w:t>größer</w:t>
      </w:r>
      <w:proofErr w:type="spellEnd"/>
      <w:r>
        <w:rPr>
          <w:rFonts w:ascii="Arial" w:hAnsi="Arial" w:cs="Arial"/>
          <w:bCs/>
          <w:shd w:val="clear" w:color="auto" w:fill="FFFFFF"/>
        </w:rPr>
        <w:t>/</w:t>
      </w:r>
      <w:proofErr w:type="spellStart"/>
      <w:r>
        <w:rPr>
          <w:rFonts w:ascii="Arial" w:hAnsi="Arial" w:cs="Arial"/>
          <w:bCs/>
          <w:shd w:val="clear" w:color="auto" w:fill="FFFFFF"/>
        </w:rPr>
        <w:t>gleich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3), </w:t>
      </w:r>
      <w:proofErr w:type="spellStart"/>
      <w:r>
        <w:rPr>
          <w:rFonts w:ascii="Arial" w:hAnsi="Arial" w:cs="Arial"/>
          <w:bCs/>
          <w:shd w:val="clear" w:color="auto" w:fill="FFFFFF"/>
        </w:rPr>
        <w:t>wobei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mindestens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eines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dieser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vier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Items Item 1 </w:t>
      </w:r>
      <w:proofErr w:type="spellStart"/>
      <w:r>
        <w:rPr>
          <w:rFonts w:ascii="Arial" w:hAnsi="Arial" w:cs="Arial"/>
          <w:bCs/>
          <w:shd w:val="clear" w:color="auto" w:fill="FFFFFF"/>
        </w:rPr>
        <w:t>oder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Item 2 (die </w:t>
      </w:r>
      <w:proofErr w:type="spellStart"/>
      <w:r>
        <w:rPr>
          <w:rFonts w:ascii="Arial" w:hAnsi="Arial" w:cs="Arial"/>
          <w:bCs/>
          <w:shd w:val="clear" w:color="auto" w:fill="FFFFFF"/>
        </w:rPr>
        <w:t>essentiellen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Merkmale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) sein muss. Sind </w:t>
      </w:r>
      <w:proofErr w:type="spellStart"/>
      <w:r>
        <w:rPr>
          <w:rFonts w:ascii="Arial" w:hAnsi="Arial" w:cs="Arial"/>
          <w:bCs/>
          <w:shd w:val="clear" w:color="auto" w:fill="FFFFFF"/>
        </w:rPr>
        <w:t>diese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Vorgaben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erfüllt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i/>
          <w:shd w:val="clear" w:color="auto" w:fill="FFFFFF"/>
        </w:rPr>
        <w:t>und</w:t>
      </w:r>
      <w:r>
        <w:rPr>
          <w:rFonts w:ascii="Arial" w:hAnsi="Arial" w:cs="Arial"/>
          <w:bCs/>
          <w:shd w:val="clear" w:color="auto" w:fill="FFFFFF"/>
        </w:rPr>
        <w:t xml:space="preserve"> das </w:t>
      </w:r>
      <w:proofErr w:type="spellStart"/>
      <w:r>
        <w:rPr>
          <w:rFonts w:ascii="Arial" w:hAnsi="Arial" w:cs="Arial"/>
          <w:bCs/>
          <w:shd w:val="clear" w:color="auto" w:fill="FFFFFF"/>
        </w:rPr>
        <w:t>Funktionsbeeinträchtigungsitem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wurde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mit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“</w:t>
      </w:r>
      <w:proofErr w:type="spellStart"/>
      <w:r>
        <w:rPr>
          <w:rFonts w:ascii="Arial" w:hAnsi="Arial" w:cs="Arial"/>
          <w:bCs/>
          <w:shd w:val="clear" w:color="auto" w:fill="FFFFFF"/>
        </w:rPr>
        <w:t>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bCs/>
          <w:shd w:val="clear" w:color="auto" w:fill="FFFFFF"/>
        </w:rPr>
        <w:t>beantwortet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Cs/>
          <w:shd w:val="clear" w:color="auto" w:fill="FFFFFF"/>
        </w:rPr>
        <w:t>dann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sind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die </w:t>
      </w:r>
      <w:proofErr w:type="spellStart"/>
      <w:r>
        <w:rPr>
          <w:rFonts w:ascii="Arial" w:hAnsi="Arial" w:cs="Arial"/>
          <w:bCs/>
          <w:shd w:val="clear" w:color="auto" w:fill="FFFFFF"/>
        </w:rPr>
        <w:t>diagnostischen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Kriterien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der </w:t>
      </w:r>
      <w:proofErr w:type="spellStart"/>
      <w:r>
        <w:rPr>
          <w:rFonts w:ascii="Arial" w:hAnsi="Arial" w:cs="Arial"/>
          <w:bCs/>
          <w:shd w:val="clear" w:color="auto" w:fill="FFFFFF"/>
        </w:rPr>
        <w:t>generalisierten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Angststörung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gemäß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ICD-11 </w:t>
      </w:r>
      <w:proofErr w:type="spellStart"/>
      <w:r>
        <w:rPr>
          <w:rFonts w:ascii="Arial" w:hAnsi="Arial" w:cs="Arial"/>
          <w:bCs/>
          <w:shd w:val="clear" w:color="auto" w:fill="FFFFFF"/>
        </w:rPr>
        <w:t>erfüllt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. Eine SPSS Syntax des </w:t>
      </w:r>
      <w:proofErr w:type="spellStart"/>
      <w:r>
        <w:rPr>
          <w:rFonts w:ascii="Arial" w:hAnsi="Arial" w:cs="Arial"/>
          <w:bCs/>
          <w:shd w:val="clear" w:color="auto" w:fill="FFFFFF"/>
        </w:rPr>
        <w:t>diagnostischen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Algorithmus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findet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sich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am Ende dieses </w:t>
      </w:r>
      <w:proofErr w:type="spellStart"/>
      <w:r>
        <w:rPr>
          <w:rFonts w:ascii="Arial" w:hAnsi="Arial" w:cs="Arial"/>
          <w:bCs/>
          <w:shd w:val="clear" w:color="auto" w:fill="FFFFFF"/>
        </w:rPr>
        <w:t>Dokuments</w:t>
      </w:r>
      <w:proofErr w:type="spellEnd"/>
      <w:r>
        <w:rPr>
          <w:rFonts w:ascii="Arial" w:hAnsi="Arial" w:cs="Arial"/>
          <w:bCs/>
          <w:shd w:val="clear" w:color="auto" w:fill="FFFFFF"/>
        </w:rPr>
        <w:t>.</w:t>
      </w:r>
    </w:p>
    <w:p>
      <w:pPr>
        <w:pStyle w:val="Default"/>
        <w:spacing w:line="360" w:lineRule="auto"/>
        <w:rPr>
          <w:rFonts w:ascii="Arial" w:hAnsi="Arial" w:cs="Arial"/>
          <w:shd w:val="clear" w:color="auto" w:fill="FFFFFF"/>
        </w:rPr>
      </w:pPr>
    </w:p>
    <w:p>
      <w:pPr>
        <w:ind w:left="-426"/>
        <w:jc w:val="both"/>
        <w:rPr>
          <w:rFonts w:cs="Arial"/>
          <w:bCs/>
          <w:sz w:val="24"/>
          <w:szCs w:val="24"/>
          <w:shd w:val="clear" w:color="auto" w:fill="FFFFFF"/>
        </w:rPr>
      </w:pPr>
      <w:r>
        <w:rPr>
          <w:rFonts w:cs="Arial"/>
          <w:bCs/>
          <w:sz w:val="24"/>
          <w:szCs w:val="24"/>
          <w:u w:val="single"/>
          <w:shd w:val="clear" w:color="auto" w:fill="FFFFFF"/>
        </w:rPr>
        <w:br w:type="page"/>
      </w:r>
      <w:bookmarkStart w:id="1" w:name="_GoBack"/>
      <w:r>
        <w:rPr>
          <w:rFonts w:cs="Arial"/>
          <w:bCs/>
          <w:sz w:val="24"/>
          <w:szCs w:val="24"/>
          <w:shd w:val="clear" w:color="auto" w:fill="FFFFFF"/>
        </w:rPr>
        <w:lastRenderedPageBreak/>
        <w:t xml:space="preserve">Wie oft haben Sie </w:t>
      </w:r>
      <w:r>
        <w:rPr>
          <w:rFonts w:cs="Arial"/>
          <w:b/>
          <w:bCs/>
          <w:sz w:val="24"/>
          <w:szCs w:val="24"/>
          <w:shd w:val="clear" w:color="auto" w:fill="FFFFFF"/>
        </w:rPr>
        <w:t>in den letzten Monaten</w:t>
      </w:r>
      <w:r>
        <w:rPr>
          <w:rFonts w:cs="Arial"/>
          <w:bCs/>
          <w:sz w:val="24"/>
          <w:szCs w:val="24"/>
          <w:shd w:val="clear" w:color="auto" w:fill="FFFFFF"/>
        </w:rPr>
        <w:t xml:space="preserve"> die folgenden Gefühle, Gedanken und Verhaltensweisen erlebt? Bitte kreisen Sie die entsprechende Zahl an, um Ihre Antwort zu geben.</w:t>
      </w:r>
      <w:bookmarkEnd w:id="1"/>
    </w:p>
    <w:p>
      <w:pPr>
        <w:ind w:left="-426"/>
        <w:rPr>
          <w:rFonts w:cs="Arial"/>
          <w:sz w:val="24"/>
          <w:szCs w:val="24"/>
          <w:shd w:val="clear" w:color="auto" w:fill="FFFFFF"/>
        </w:rPr>
      </w:pPr>
    </w:p>
    <w:tbl>
      <w:tblPr>
        <w:tblStyle w:val="TabellemithellemGitternetz"/>
        <w:tblW w:w="0" w:type="auto"/>
        <w:tblInd w:w="-461" w:type="dxa"/>
        <w:tblLook w:val="04A0" w:firstRow="1" w:lastRow="0" w:firstColumn="1" w:lastColumn="0" w:noHBand="0" w:noVBand="1"/>
      </w:tblPr>
      <w:tblGrid>
        <w:gridCol w:w="1805"/>
        <w:gridCol w:w="1802"/>
        <w:gridCol w:w="1801"/>
        <w:gridCol w:w="1803"/>
        <w:gridCol w:w="1805"/>
      </w:tblGrid>
      <w:tr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Niemals</w:t>
            </w:r>
            <w:proofErr w:type="spellEnd"/>
          </w:p>
        </w:tc>
        <w:tc>
          <w:tcPr>
            <w:tcW w:w="1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Nur an </w:t>
            </w:r>
            <w:proofErr w:type="spellStart"/>
            <w:r>
              <w:rPr>
                <w:rFonts w:cs="Arial"/>
                <w:sz w:val="24"/>
                <w:szCs w:val="24"/>
              </w:rPr>
              <w:t>ein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paar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Tagen</w:t>
            </w:r>
            <w:proofErr w:type="spellEnd"/>
          </w:p>
        </w:tc>
        <w:tc>
          <w:tcPr>
            <w:tcW w:w="1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</w:rPr>
              <w:t xml:space="preserve">An der </w:t>
            </w:r>
            <w:proofErr w:type="spellStart"/>
            <w:r>
              <w:rPr>
                <w:rFonts w:cs="Arial"/>
                <w:sz w:val="24"/>
                <w:szCs w:val="24"/>
              </w:rPr>
              <w:t>Hälfte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der </w:t>
            </w:r>
            <w:proofErr w:type="spellStart"/>
            <w:r>
              <w:rPr>
                <w:rFonts w:cs="Arial"/>
                <w:sz w:val="24"/>
                <w:szCs w:val="24"/>
              </w:rPr>
              <w:t>Tage</w:t>
            </w:r>
            <w:proofErr w:type="spellEnd"/>
          </w:p>
        </w:tc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An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den </w:t>
            </w:r>
            <w:proofErr w:type="spellStart"/>
            <w:r>
              <w:rPr>
                <w:rFonts w:cs="Arial"/>
                <w:sz w:val="24"/>
                <w:szCs w:val="24"/>
              </w:rPr>
              <w:t>meisten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Tagen</w:t>
            </w:r>
            <w:proofErr w:type="spellEnd"/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Arial"/>
                <w:sz w:val="24"/>
                <w:szCs w:val="24"/>
                <w:shd w:val="clear" w:color="auto" w:fill="FFFFFF"/>
              </w:rPr>
              <w:t>Jeden</w:t>
            </w:r>
            <w:proofErr w:type="spellEnd"/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 Tag</w:t>
            </w:r>
          </w:p>
        </w:tc>
      </w:tr>
      <w:tr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ind w:left="-426"/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ind w:left="-426"/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ind w:left="-426"/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ind w:left="-426"/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ind w:left="-426"/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>
      <w:pPr>
        <w:ind w:left="-426"/>
        <w:rPr>
          <w:rFonts w:cs="Arial"/>
          <w:sz w:val="24"/>
          <w:szCs w:val="24"/>
          <w:shd w:val="clear" w:color="auto" w:fill="FFFFFF"/>
          <w:lang w:val="en-IE" w:eastAsia="en-US"/>
        </w:rPr>
      </w:pPr>
    </w:p>
    <w:tbl>
      <w:tblPr>
        <w:tblStyle w:val="TabellemithellemGitternetz"/>
        <w:tblpPr w:leftFromText="180" w:rightFromText="180" w:vertAnchor="text" w:horzAnchor="margin" w:tblpX="-431" w:tblpY="79"/>
        <w:tblW w:w="0" w:type="auto"/>
        <w:tblInd w:w="0" w:type="dxa"/>
        <w:tblLook w:val="04A0" w:firstRow="1" w:lastRow="0" w:firstColumn="1" w:lastColumn="0" w:noHBand="0" w:noVBand="1"/>
      </w:tblPr>
      <w:tblGrid>
        <w:gridCol w:w="5243"/>
        <w:gridCol w:w="753"/>
        <w:gridCol w:w="755"/>
        <w:gridCol w:w="755"/>
        <w:gridCol w:w="755"/>
        <w:gridCol w:w="755"/>
      </w:tblGrid>
      <w:tr>
        <w:tc>
          <w:tcPr>
            <w:tcW w:w="5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Sich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nervös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oder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ängstlich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gefühlt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>?</w:t>
            </w:r>
          </w:p>
        </w:tc>
        <w:tc>
          <w:tcPr>
            <w:tcW w:w="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4</w:t>
            </w:r>
          </w:p>
        </w:tc>
      </w:tr>
      <w:tr>
        <w:tc>
          <w:tcPr>
            <w:tcW w:w="5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pStyle w:val="Listenabsatz"/>
              <w:numPr>
                <w:ilvl w:val="0"/>
                <w:numId w:val="1"/>
              </w:numPr>
              <w:spacing w:line="240" w:lineRule="auto"/>
              <w:ind w:left="454"/>
              <w:rPr>
                <w:rFonts w:ascii="Arial" w:hAnsi="Arial" w:cs="Arial"/>
                <w:color w:val="auto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Sich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viele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Sorgen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über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verschiedene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 Dinge </w:t>
            </w: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gemacht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? </w:t>
            </w:r>
          </w:p>
        </w:tc>
        <w:tc>
          <w:tcPr>
            <w:tcW w:w="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4</w:t>
            </w:r>
          </w:p>
        </w:tc>
      </w:tr>
      <w:tr>
        <w:tc>
          <w:tcPr>
            <w:tcW w:w="5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pStyle w:val="Listenabsatz"/>
              <w:numPr>
                <w:ilvl w:val="0"/>
                <w:numId w:val="1"/>
              </w:numPr>
              <w:spacing w:line="240" w:lineRule="auto"/>
              <w:ind w:left="454"/>
              <w:rPr>
                <w:rFonts w:ascii="Arial" w:hAnsi="Arial" w:cs="Arial"/>
                <w:color w:val="auto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Sich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körperlich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angespannt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auto"/>
                <w:szCs w:val="24"/>
              </w:rPr>
              <w:t>oder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aufgeregt</w:t>
            </w:r>
            <w:proofErr w:type="spellEnd"/>
            <w:proofErr w:type="gramEnd"/>
            <w:r>
              <w:rPr>
                <w:rFonts w:ascii="Arial" w:hAnsi="Arial" w:cs="Arial"/>
                <w:color w:val="auto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gefühlt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?  </w:t>
            </w:r>
          </w:p>
        </w:tc>
        <w:tc>
          <w:tcPr>
            <w:tcW w:w="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4</w:t>
            </w:r>
          </w:p>
        </w:tc>
      </w:tr>
      <w:tr>
        <w:tc>
          <w:tcPr>
            <w:tcW w:w="5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pStyle w:val="Listenabsatz"/>
              <w:numPr>
                <w:ilvl w:val="0"/>
                <w:numId w:val="1"/>
              </w:numPr>
              <w:spacing w:line="240" w:lineRule="auto"/>
              <w:ind w:left="454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Herzrasen</w:t>
            </w:r>
            <w:proofErr w:type="spellEnd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Atemnot</w:t>
            </w:r>
            <w:proofErr w:type="spellEnd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Magenbeschwerden</w:t>
            </w:r>
            <w:proofErr w:type="spellEnd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oder</w:t>
            </w:r>
            <w:proofErr w:type="spellEnd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Mundtrockenheit</w:t>
            </w:r>
            <w:proofErr w:type="spellEnd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gehabt</w:t>
            </w:r>
            <w:proofErr w:type="spellEnd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 xml:space="preserve">? </w:t>
            </w:r>
          </w:p>
        </w:tc>
        <w:tc>
          <w:tcPr>
            <w:tcW w:w="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4</w:t>
            </w:r>
          </w:p>
        </w:tc>
      </w:tr>
      <w:tr>
        <w:tc>
          <w:tcPr>
            <w:tcW w:w="5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pStyle w:val="Listenabsatz"/>
              <w:numPr>
                <w:ilvl w:val="0"/>
                <w:numId w:val="1"/>
              </w:numPr>
              <w:spacing w:line="240" w:lineRule="auto"/>
              <w:ind w:left="454"/>
              <w:rPr>
                <w:rFonts w:ascii="Arial" w:hAnsi="Arial" w:cs="Arial"/>
                <w:color w:val="auto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Sich</w:t>
            </w:r>
            <w:proofErr w:type="spellEnd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angespannt</w:t>
            </w:r>
            <w:proofErr w:type="spellEnd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gefühlt</w:t>
            </w:r>
            <w:proofErr w:type="spellEnd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?</w:t>
            </w:r>
          </w:p>
        </w:tc>
        <w:tc>
          <w:tcPr>
            <w:tcW w:w="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4</w:t>
            </w:r>
          </w:p>
        </w:tc>
      </w:tr>
      <w:tr>
        <w:tc>
          <w:tcPr>
            <w:tcW w:w="5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pStyle w:val="Listenabsatz"/>
              <w:numPr>
                <w:ilvl w:val="0"/>
                <w:numId w:val="1"/>
              </w:numPr>
              <w:spacing w:line="240" w:lineRule="auto"/>
              <w:ind w:left="454"/>
              <w:rPr>
                <w:rFonts w:ascii="Arial" w:hAnsi="Arial" w:cs="Arial"/>
                <w:color w:val="auto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Konzentrationsschwierigkeiten</w:t>
            </w:r>
            <w:proofErr w:type="spellEnd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gehabt</w:t>
            </w:r>
            <w:proofErr w:type="spellEnd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?</w:t>
            </w:r>
          </w:p>
        </w:tc>
        <w:tc>
          <w:tcPr>
            <w:tcW w:w="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4</w:t>
            </w:r>
          </w:p>
        </w:tc>
      </w:tr>
      <w:tr>
        <w:tc>
          <w:tcPr>
            <w:tcW w:w="5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pStyle w:val="Listenabsatz"/>
              <w:numPr>
                <w:ilvl w:val="0"/>
                <w:numId w:val="1"/>
              </w:numPr>
              <w:spacing w:line="240" w:lineRule="auto"/>
              <w:ind w:left="454"/>
              <w:rPr>
                <w:rFonts w:ascii="Arial" w:hAnsi="Arial" w:cs="Arial"/>
                <w:color w:val="auto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Durch</w:t>
            </w:r>
            <w:proofErr w:type="spellEnd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verschiedene</w:t>
            </w:r>
            <w:proofErr w:type="spellEnd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 xml:space="preserve"> Dinge </w:t>
            </w:r>
            <w:proofErr w:type="spellStart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rasch</w:t>
            </w:r>
            <w:proofErr w:type="spellEnd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gereizt</w:t>
            </w:r>
            <w:proofErr w:type="spellEnd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gewesen</w:t>
            </w:r>
            <w:proofErr w:type="spellEnd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?</w:t>
            </w:r>
          </w:p>
        </w:tc>
        <w:tc>
          <w:tcPr>
            <w:tcW w:w="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4</w:t>
            </w:r>
          </w:p>
        </w:tc>
      </w:tr>
      <w:tr>
        <w:tc>
          <w:tcPr>
            <w:tcW w:w="5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pStyle w:val="Listenabsatz"/>
              <w:numPr>
                <w:ilvl w:val="0"/>
                <w:numId w:val="1"/>
              </w:numPr>
              <w:spacing w:line="240" w:lineRule="auto"/>
              <w:ind w:left="454"/>
              <w:rPr>
                <w:rFonts w:ascii="Arial" w:hAnsi="Arial" w:cs="Arial"/>
                <w:color w:val="auto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Schlafstörungen</w:t>
            </w:r>
            <w:proofErr w:type="spellEnd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>gehabt</w:t>
            </w:r>
            <w:proofErr w:type="spellEnd"/>
            <w:r>
              <w:rPr>
                <w:rFonts w:ascii="Arial" w:hAnsi="Arial" w:cs="Arial"/>
                <w:color w:val="auto"/>
                <w:szCs w:val="24"/>
                <w:shd w:val="clear" w:color="auto" w:fill="FFFFFF"/>
              </w:rPr>
              <w:t xml:space="preserve">? </w:t>
            </w:r>
          </w:p>
        </w:tc>
        <w:tc>
          <w:tcPr>
            <w:tcW w:w="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>
            <w:pPr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>
      <w:pPr>
        <w:ind w:left="1276"/>
        <w:rPr>
          <w:rFonts w:cs="Arial"/>
          <w:sz w:val="24"/>
          <w:szCs w:val="24"/>
          <w:shd w:val="clear" w:color="auto" w:fill="FFFFFF"/>
          <w:lang w:val="en-IE" w:eastAsia="en-US"/>
        </w:rPr>
      </w:pPr>
    </w:p>
    <w:p>
      <w:pPr>
        <w:ind w:left="-426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Haben diese Erlebnisse Schwierigkeiten in persönlichen, familiären oder sozialen Bereichen, der Ausbildung, der Arbeit oder anderen wichtigen Bereichen Ihres Lebens bewirkt? </w:t>
      </w:r>
    </w:p>
    <w:p>
      <w:pPr>
        <w:ind w:left="-426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Ja </w:t>
      </w:r>
      <w:r>
        <w:rPr>
          <w:rFonts w:cs="Arial"/>
          <w:sz w:val="24"/>
          <w:szCs w:val="24"/>
          <w:shd w:val="clear" w:color="auto" w:fill="FFFFFF"/>
        </w:rPr>
        <w:sym w:font="Symbol" w:char="F085"/>
      </w:r>
      <w:r>
        <w:rPr>
          <w:rFonts w:cs="Arial"/>
          <w:sz w:val="24"/>
          <w:szCs w:val="24"/>
          <w:shd w:val="clear" w:color="auto" w:fill="FFFFFF"/>
        </w:rPr>
        <w:tab/>
      </w:r>
      <w:r>
        <w:rPr>
          <w:rFonts w:cs="Arial"/>
          <w:sz w:val="24"/>
          <w:szCs w:val="24"/>
          <w:shd w:val="clear" w:color="auto" w:fill="FFFFFF"/>
        </w:rPr>
        <w:tab/>
        <w:t xml:space="preserve">Nein </w:t>
      </w:r>
      <w:r>
        <w:rPr>
          <w:rFonts w:cs="Arial"/>
          <w:sz w:val="24"/>
          <w:szCs w:val="24"/>
          <w:shd w:val="clear" w:color="auto" w:fill="FFFFFF"/>
        </w:rPr>
        <w:sym w:font="Symbol" w:char="F085"/>
      </w:r>
    </w:p>
    <w:p>
      <w:pPr>
        <w:ind w:left="-426"/>
        <w:rPr>
          <w:rFonts w:cs="Arial"/>
          <w:sz w:val="24"/>
          <w:szCs w:val="24"/>
          <w:shd w:val="clear" w:color="auto" w:fill="FFFFFF"/>
        </w:rPr>
      </w:pPr>
    </w:p>
    <w:p>
      <w:pPr>
        <w:pStyle w:val="Default"/>
        <w:spacing w:line="360" w:lineRule="auto"/>
        <w:rPr>
          <w:rFonts w:ascii="Arial" w:eastAsia="Times New Roman" w:hAnsi="Arial" w:cs="Arial"/>
          <w:color w:val="auto"/>
          <w:shd w:val="clear" w:color="auto" w:fill="FFFFFF"/>
          <w:lang w:val="de-DE" w:eastAsia="de-DE"/>
        </w:rPr>
      </w:pPr>
    </w:p>
    <w:p>
      <w:pPr>
        <w:pStyle w:val="Default"/>
        <w:spacing w:line="360" w:lineRule="auto"/>
        <w:rPr>
          <w:rFonts w:ascii="Arial" w:eastAsia="Times New Roman" w:hAnsi="Arial" w:cs="Arial"/>
          <w:color w:val="auto"/>
          <w:shd w:val="clear" w:color="auto" w:fill="FFFFFF"/>
          <w:lang w:val="de-DE" w:eastAsia="de-DE"/>
        </w:rPr>
      </w:pPr>
    </w:p>
    <w:p>
      <w:pPr>
        <w:pStyle w:val="Default"/>
        <w:spacing w:line="360" w:lineRule="auto"/>
        <w:rPr>
          <w:rFonts w:ascii="Arial" w:eastAsia="Times New Roman" w:hAnsi="Arial" w:cs="Arial"/>
          <w:color w:val="auto"/>
          <w:shd w:val="clear" w:color="auto" w:fill="FFFFFF"/>
          <w:lang w:val="de-DE" w:eastAsia="de-DE"/>
        </w:rPr>
      </w:pPr>
    </w:p>
    <w:p>
      <w:pPr>
        <w:pStyle w:val="Default"/>
        <w:spacing w:line="360" w:lineRule="auto"/>
        <w:rPr>
          <w:rFonts w:ascii="Arial" w:eastAsia="Times New Roman" w:hAnsi="Arial" w:cs="Arial"/>
          <w:color w:val="auto"/>
          <w:shd w:val="clear" w:color="auto" w:fill="FFFFFF"/>
          <w:lang w:val="de-DE" w:eastAsia="de-DE"/>
        </w:rPr>
      </w:pPr>
    </w:p>
    <w:p>
      <w:pPr>
        <w:pStyle w:val="Default"/>
        <w:spacing w:line="360" w:lineRule="auto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Originalpublikation</w:t>
      </w:r>
      <w:proofErr w:type="spellEnd"/>
      <w:r>
        <w:rPr>
          <w:rFonts w:ascii="Arial" w:hAnsi="Arial" w:cs="Arial"/>
          <w:shd w:val="clear" w:color="auto" w:fill="FFFFFF"/>
        </w:rPr>
        <w:t>:</w:t>
      </w:r>
    </w:p>
    <w:p>
      <w:pPr>
        <w:pStyle w:val="Default"/>
        <w:spacing w:line="360" w:lineRule="auto"/>
        <w:rPr>
          <w:rFonts w:ascii="Arial" w:hAnsi="Arial" w:cs="Arial"/>
          <w:shd w:val="clear" w:color="auto" w:fill="FFFFFF"/>
        </w:rPr>
      </w:pPr>
      <w:r>
        <w:rPr>
          <w:rStyle w:val="author"/>
          <w:rFonts w:ascii="Arial" w:hAnsi="Arial" w:cs="Arial"/>
          <w:color w:val="1C1D1E"/>
          <w:shd w:val="clear" w:color="auto" w:fill="FFFFFF"/>
        </w:rPr>
        <w:t>Shevlin, M.</w:t>
      </w:r>
      <w:r>
        <w:rPr>
          <w:rFonts w:ascii="Arial" w:hAnsi="Arial" w:cs="Arial"/>
          <w:color w:val="1C1D1E"/>
          <w:shd w:val="clear" w:color="auto" w:fill="FFFFFF"/>
        </w:rPr>
        <w:t>, </w:t>
      </w:r>
      <w:r>
        <w:rPr>
          <w:rStyle w:val="author"/>
          <w:rFonts w:ascii="Arial" w:hAnsi="Arial" w:cs="Arial"/>
          <w:color w:val="1C1D1E"/>
          <w:shd w:val="clear" w:color="auto" w:fill="FFFFFF"/>
        </w:rPr>
        <w:t>Hyland, P.</w:t>
      </w:r>
      <w:r>
        <w:rPr>
          <w:rFonts w:ascii="Arial" w:hAnsi="Arial" w:cs="Arial"/>
          <w:color w:val="1C1D1E"/>
          <w:shd w:val="clear" w:color="auto" w:fill="FFFFFF"/>
        </w:rPr>
        <w:t>, </w:t>
      </w:r>
      <w:r>
        <w:rPr>
          <w:rStyle w:val="author"/>
          <w:rFonts w:ascii="Arial" w:hAnsi="Arial" w:cs="Arial"/>
          <w:color w:val="1C1D1E"/>
          <w:shd w:val="clear" w:color="auto" w:fill="FFFFFF"/>
        </w:rPr>
        <w:t>Butter, S.</w:t>
      </w:r>
      <w:r>
        <w:rPr>
          <w:rFonts w:ascii="Arial" w:hAnsi="Arial" w:cs="Arial"/>
          <w:color w:val="1C1D1E"/>
          <w:shd w:val="clear" w:color="auto" w:fill="FFFFFF"/>
        </w:rPr>
        <w:t>, </w:t>
      </w:r>
      <w:r>
        <w:rPr>
          <w:rStyle w:val="author"/>
          <w:rFonts w:ascii="Arial" w:hAnsi="Arial" w:cs="Arial"/>
          <w:color w:val="1C1D1E"/>
          <w:shd w:val="clear" w:color="auto" w:fill="FFFFFF"/>
        </w:rPr>
        <w:t>McBride, O.</w:t>
      </w:r>
      <w:r>
        <w:rPr>
          <w:rFonts w:ascii="Arial" w:hAnsi="Arial" w:cs="Arial"/>
          <w:color w:val="1C1D1E"/>
          <w:shd w:val="clear" w:color="auto" w:fill="FFFFFF"/>
        </w:rPr>
        <w:t>, </w:t>
      </w:r>
      <w:r>
        <w:rPr>
          <w:rStyle w:val="author"/>
          <w:rFonts w:ascii="Arial" w:hAnsi="Arial" w:cs="Arial"/>
          <w:color w:val="1C1D1E"/>
          <w:shd w:val="clear" w:color="auto" w:fill="FFFFFF"/>
        </w:rPr>
        <w:t>Hartman, T. K.</w:t>
      </w:r>
      <w:r>
        <w:rPr>
          <w:rFonts w:ascii="Arial" w:hAnsi="Arial" w:cs="Arial"/>
          <w:color w:val="1C1D1E"/>
          <w:shd w:val="clear" w:color="auto" w:fill="FFFFFF"/>
        </w:rPr>
        <w:t>, </w:t>
      </w:r>
      <w:r>
        <w:rPr>
          <w:rStyle w:val="author"/>
          <w:rFonts w:ascii="Arial" w:hAnsi="Arial" w:cs="Arial"/>
          <w:color w:val="1C1D1E"/>
          <w:shd w:val="clear" w:color="auto" w:fill="FFFFFF"/>
        </w:rPr>
        <w:t>Karatzias, T.</w:t>
      </w:r>
      <w:r>
        <w:rPr>
          <w:rFonts w:ascii="Arial" w:hAnsi="Arial" w:cs="Arial"/>
          <w:color w:val="1C1D1E"/>
          <w:shd w:val="clear" w:color="auto" w:fill="FFFFFF"/>
        </w:rPr>
        <w:t>, &amp; </w:t>
      </w:r>
      <w:r>
        <w:rPr>
          <w:rStyle w:val="author"/>
          <w:rFonts w:ascii="Arial" w:hAnsi="Arial" w:cs="Arial"/>
          <w:color w:val="1C1D1E"/>
          <w:shd w:val="clear" w:color="auto" w:fill="FFFFFF"/>
        </w:rPr>
        <w:t>Bentall, R. P.</w:t>
      </w:r>
      <w:r>
        <w:rPr>
          <w:rFonts w:ascii="Arial" w:hAnsi="Arial" w:cs="Arial"/>
          <w:color w:val="1C1D1E"/>
          <w:shd w:val="clear" w:color="auto" w:fill="FFFFFF"/>
        </w:rPr>
        <w:t> (</w:t>
      </w:r>
      <w:r>
        <w:rPr>
          <w:rStyle w:val="pubyear"/>
          <w:rFonts w:ascii="Arial" w:hAnsi="Arial" w:cs="Arial"/>
          <w:color w:val="1C1D1E"/>
          <w:shd w:val="clear" w:color="auto" w:fill="FFFFFF"/>
        </w:rPr>
        <w:t>2022</w:t>
      </w:r>
      <w:r>
        <w:rPr>
          <w:rFonts w:ascii="Arial" w:hAnsi="Arial" w:cs="Arial"/>
          <w:color w:val="1C1D1E"/>
          <w:shd w:val="clear" w:color="auto" w:fill="FFFFFF"/>
        </w:rPr>
        <w:t>). </w:t>
      </w:r>
      <w:r>
        <w:rPr>
          <w:rStyle w:val="articletitle"/>
          <w:rFonts w:ascii="Arial" w:hAnsi="Arial" w:cs="Arial"/>
          <w:color w:val="1C1D1E"/>
          <w:shd w:val="clear" w:color="auto" w:fill="FFFFFF"/>
        </w:rPr>
        <w:t>The development and initial validation of self-report measures of ICD-11 depressive episode and generalized anxiety disorder: The International Depression Questionnaire (IDQ) and the International Anxiety Questionnaire (IAQ)</w:t>
      </w:r>
      <w:r>
        <w:rPr>
          <w:rFonts w:ascii="Arial" w:hAnsi="Arial" w:cs="Arial"/>
          <w:color w:val="1C1D1E"/>
          <w:shd w:val="clear" w:color="auto" w:fill="FFFFFF"/>
        </w:rPr>
        <w:t>. </w:t>
      </w:r>
      <w:r>
        <w:rPr>
          <w:rFonts w:ascii="Arial" w:hAnsi="Arial" w:cs="Arial"/>
          <w:i/>
          <w:iCs/>
          <w:color w:val="1C1D1E"/>
          <w:shd w:val="clear" w:color="auto" w:fill="FFFFFF"/>
        </w:rPr>
        <w:t>Journal of Clinical Psychology</w:t>
      </w:r>
      <w:r>
        <w:rPr>
          <w:rFonts w:ascii="Arial" w:hAnsi="Arial" w:cs="Arial"/>
          <w:color w:val="1C1D1E"/>
          <w:shd w:val="clear" w:color="auto" w:fill="FFFFFF"/>
        </w:rPr>
        <w:t>, </w:t>
      </w:r>
      <w:r>
        <w:rPr>
          <w:rStyle w:val="pagefirst"/>
          <w:rFonts w:ascii="Arial" w:hAnsi="Arial" w:cs="Arial"/>
          <w:color w:val="1C1D1E"/>
          <w:shd w:val="clear" w:color="auto" w:fill="FFFFFF"/>
        </w:rPr>
        <w:t>1</w:t>
      </w:r>
      <w:r>
        <w:rPr>
          <w:rFonts w:ascii="Arial" w:hAnsi="Arial" w:cs="Arial"/>
          <w:color w:val="1C1D1E"/>
          <w:shd w:val="clear" w:color="auto" w:fill="FFFFFF"/>
        </w:rPr>
        <w:t>– </w:t>
      </w:r>
      <w:r>
        <w:rPr>
          <w:rStyle w:val="pagelast"/>
          <w:rFonts w:ascii="Arial" w:hAnsi="Arial" w:cs="Arial"/>
          <w:color w:val="1C1D1E"/>
          <w:shd w:val="clear" w:color="auto" w:fill="FFFFFF"/>
        </w:rPr>
        <w:t>17</w:t>
      </w:r>
      <w:r>
        <w:rPr>
          <w:rFonts w:ascii="Arial" w:hAnsi="Arial" w:cs="Arial"/>
          <w:color w:val="1C1D1E"/>
          <w:shd w:val="clear" w:color="auto" w:fill="FFFFFF"/>
        </w:rPr>
        <w:t>. </w:t>
      </w:r>
      <w:r>
        <w:rPr>
          <w:rFonts w:ascii="Arial" w:hAnsi="Arial" w:cs="Arial"/>
          <w:shd w:val="clear" w:color="auto" w:fill="FFFFFF"/>
        </w:rPr>
        <w:t>https://doi.org/10.1002/jclp.23446</w:t>
      </w:r>
    </w:p>
    <w:p>
      <w:pPr>
        <w:pStyle w:val="Default"/>
        <w:spacing w:line="360" w:lineRule="auto"/>
        <w:rPr>
          <w:rFonts w:ascii="Arial" w:hAnsi="Arial" w:cs="Arial"/>
          <w:shd w:val="clear" w:color="auto" w:fill="FFFFFF"/>
        </w:rPr>
      </w:pPr>
    </w:p>
    <w:p>
      <w:pPr>
        <w:pStyle w:val="Default"/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Deutsche </w:t>
      </w:r>
      <w:proofErr w:type="spellStart"/>
      <w:r>
        <w:rPr>
          <w:rFonts w:ascii="Arial" w:hAnsi="Arial" w:cs="Arial"/>
          <w:shd w:val="clear" w:color="auto" w:fill="FFFFFF"/>
        </w:rPr>
        <w:t>Übersetzung</w:t>
      </w:r>
      <w:proofErr w:type="spellEnd"/>
      <w:r>
        <w:rPr>
          <w:rFonts w:ascii="Arial" w:hAnsi="Arial" w:cs="Arial"/>
          <w:shd w:val="clear" w:color="auto" w:fill="FFFFFF"/>
        </w:rPr>
        <w:t xml:space="preserve">: Kratzer, L., Tschöke, S., König, J., Schröder, J. (2023). Der International Anxiety Questionnaire (IAQ) – Deutsche Version. </w:t>
      </w:r>
      <w:hyperlink r:id="rId5" w:history="1">
        <w:r>
          <w:rPr>
            <w:rStyle w:val="Hyperlink"/>
            <w:rFonts w:ascii="Arial" w:hAnsi="Arial" w:cs="Arial"/>
            <w:shd w:val="clear" w:color="auto" w:fill="FFFFFF"/>
          </w:rPr>
          <w:t>https://www.traumameasuresglobal.com/anxiety</w:t>
        </w:r>
      </w:hyperlink>
    </w:p>
    <w:p>
      <w:pPr>
        <w:pStyle w:val="Default"/>
        <w:spacing w:line="360" w:lineRule="auto"/>
        <w:rPr>
          <w:rFonts w:cs="Arial"/>
          <w:shd w:val="clear" w:color="auto" w:fill="FFFFFF"/>
        </w:rPr>
      </w:pPr>
    </w:p>
    <w:p>
      <w:pPr>
        <w:rPr>
          <w:rFonts w:cs="Arial"/>
          <w:sz w:val="24"/>
          <w:szCs w:val="24"/>
          <w:shd w:val="clear" w:color="auto" w:fill="FFFFFF"/>
        </w:rPr>
      </w:pPr>
    </w:p>
    <w:p>
      <w:pPr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lastRenderedPageBreak/>
        <w:t>______________________________________________________________________________</w:t>
      </w: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 xml:space="preserve">SPSS Scoring: </w:t>
      </w:r>
      <w:proofErr w:type="spellStart"/>
      <w:r>
        <w:rPr>
          <w:rFonts w:cs="Arial"/>
          <w:sz w:val="18"/>
          <w:szCs w:val="18"/>
          <w:shd w:val="clear" w:color="auto" w:fill="FFFFFF"/>
        </w:rPr>
        <w:t>If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sz w:val="18"/>
          <w:szCs w:val="18"/>
          <w:shd w:val="clear" w:color="auto" w:fill="FFFFFF"/>
        </w:rPr>
        <w:t>the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IAQ </w:t>
      </w:r>
      <w:proofErr w:type="spellStart"/>
      <w:r>
        <w:rPr>
          <w:rFonts w:cs="Arial"/>
          <w:sz w:val="18"/>
          <w:szCs w:val="18"/>
          <w:shd w:val="clear" w:color="auto" w:fill="FFFFFF"/>
        </w:rPr>
        <w:t>items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sz w:val="18"/>
          <w:szCs w:val="18"/>
          <w:shd w:val="clear" w:color="auto" w:fill="FFFFFF"/>
        </w:rPr>
        <w:t>are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sz w:val="18"/>
          <w:szCs w:val="18"/>
          <w:shd w:val="clear" w:color="auto" w:fill="FFFFFF"/>
        </w:rPr>
        <w:t>labelled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Anx_1 </w:t>
      </w:r>
      <w:proofErr w:type="spellStart"/>
      <w:r>
        <w:rPr>
          <w:rFonts w:cs="Arial"/>
          <w:sz w:val="18"/>
          <w:szCs w:val="18"/>
          <w:shd w:val="clear" w:color="auto" w:fill="FFFFFF"/>
        </w:rPr>
        <w:t>to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Anx_8 and </w:t>
      </w:r>
      <w:proofErr w:type="spellStart"/>
      <w:r>
        <w:rPr>
          <w:rFonts w:cs="Arial"/>
          <w:sz w:val="18"/>
          <w:szCs w:val="18"/>
          <w:shd w:val="clear" w:color="auto" w:fill="FFFFFF"/>
        </w:rPr>
        <w:t>the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sz w:val="18"/>
          <w:szCs w:val="18"/>
          <w:shd w:val="clear" w:color="auto" w:fill="FFFFFF"/>
        </w:rPr>
        <w:t>functional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sz w:val="18"/>
          <w:szCs w:val="18"/>
          <w:shd w:val="clear" w:color="auto" w:fill="FFFFFF"/>
        </w:rPr>
        <w:t>impairment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item </w:t>
      </w:r>
      <w:proofErr w:type="spellStart"/>
      <w:r>
        <w:rPr>
          <w:rFonts w:cs="Arial"/>
          <w:sz w:val="18"/>
          <w:szCs w:val="18"/>
          <w:shd w:val="clear" w:color="auto" w:fill="FFFFFF"/>
        </w:rPr>
        <w:t>is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sz w:val="18"/>
          <w:szCs w:val="18"/>
          <w:shd w:val="clear" w:color="auto" w:fill="FFFFFF"/>
        </w:rPr>
        <w:t>labelled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‘</w:t>
      </w:r>
      <w:proofErr w:type="spellStart"/>
      <w:r>
        <w:rPr>
          <w:rFonts w:cs="Arial"/>
          <w:sz w:val="18"/>
          <w:szCs w:val="18"/>
          <w:shd w:val="clear" w:color="auto" w:fill="FFFFFF"/>
        </w:rPr>
        <w:t>Anx_impair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’, </w:t>
      </w:r>
      <w:proofErr w:type="spellStart"/>
      <w:r>
        <w:rPr>
          <w:rFonts w:cs="Arial"/>
          <w:sz w:val="18"/>
          <w:szCs w:val="18"/>
          <w:shd w:val="clear" w:color="auto" w:fill="FFFFFF"/>
        </w:rPr>
        <w:t>the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sz w:val="18"/>
          <w:szCs w:val="18"/>
          <w:shd w:val="clear" w:color="auto" w:fill="FFFFFF"/>
        </w:rPr>
        <w:t>following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sz w:val="18"/>
          <w:szCs w:val="18"/>
          <w:shd w:val="clear" w:color="auto" w:fill="FFFFFF"/>
        </w:rPr>
        <w:t>syntax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will </w:t>
      </w:r>
      <w:proofErr w:type="spellStart"/>
      <w:r>
        <w:rPr>
          <w:rFonts w:cs="Arial"/>
          <w:sz w:val="18"/>
          <w:szCs w:val="18"/>
          <w:shd w:val="clear" w:color="auto" w:fill="FFFFFF"/>
        </w:rPr>
        <w:t>produce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a variable </w:t>
      </w:r>
      <w:proofErr w:type="spellStart"/>
      <w:r>
        <w:rPr>
          <w:rFonts w:cs="Arial"/>
          <w:sz w:val="18"/>
          <w:szCs w:val="18"/>
          <w:shd w:val="clear" w:color="auto" w:fill="FFFFFF"/>
        </w:rPr>
        <w:t>called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‘</w:t>
      </w:r>
      <w:proofErr w:type="spellStart"/>
      <w:r>
        <w:rPr>
          <w:rFonts w:cs="Arial"/>
          <w:sz w:val="18"/>
          <w:szCs w:val="18"/>
          <w:shd w:val="clear" w:color="auto" w:fill="FFFFFF"/>
        </w:rPr>
        <w:t>ICD_ANX_dx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’ </w:t>
      </w:r>
      <w:proofErr w:type="spellStart"/>
      <w:r>
        <w:rPr>
          <w:rFonts w:cs="Arial"/>
          <w:sz w:val="18"/>
          <w:szCs w:val="18"/>
          <w:shd w:val="clear" w:color="auto" w:fill="FFFFFF"/>
        </w:rPr>
        <w:t>with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sz w:val="18"/>
          <w:szCs w:val="18"/>
          <w:shd w:val="clear" w:color="auto" w:fill="FFFFFF"/>
        </w:rPr>
        <w:t>values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of 1 </w:t>
      </w:r>
      <w:proofErr w:type="spellStart"/>
      <w:r>
        <w:rPr>
          <w:rFonts w:cs="Arial"/>
          <w:sz w:val="18"/>
          <w:szCs w:val="18"/>
          <w:shd w:val="clear" w:color="auto" w:fill="FFFFFF"/>
        </w:rPr>
        <w:t>indicating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sz w:val="18"/>
          <w:szCs w:val="18"/>
          <w:shd w:val="clear" w:color="auto" w:fill="FFFFFF"/>
        </w:rPr>
        <w:t>caseness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and 0 not.</w:t>
      </w: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 xml:space="preserve">IF (Anx_1 &gt; 2) </w:t>
      </w:r>
      <w:proofErr w:type="spellStart"/>
      <w:r>
        <w:rPr>
          <w:rFonts w:cs="Arial"/>
          <w:sz w:val="18"/>
          <w:szCs w:val="18"/>
          <w:shd w:val="clear" w:color="auto" w:fill="FFFFFF"/>
        </w:rPr>
        <w:t>or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(Anx_2 &gt; 2) </w:t>
      </w:r>
      <w:proofErr w:type="spellStart"/>
      <w:r>
        <w:rPr>
          <w:rFonts w:cs="Arial"/>
          <w:sz w:val="18"/>
          <w:szCs w:val="18"/>
          <w:shd w:val="clear" w:color="auto" w:fill="FFFFFF"/>
        </w:rPr>
        <w:t>CoreAnx_dx</w:t>
      </w:r>
      <w:proofErr w:type="spellEnd"/>
      <w:r>
        <w:rPr>
          <w:rFonts w:cs="Arial"/>
          <w:sz w:val="18"/>
          <w:szCs w:val="18"/>
          <w:shd w:val="clear" w:color="auto" w:fill="FFFFFF"/>
        </w:rPr>
        <w:t>=1.</w:t>
      </w: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>EXECUTE.</w:t>
      </w: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 xml:space="preserve">COUNT </w:t>
      </w:r>
      <w:proofErr w:type="spellStart"/>
      <w:r>
        <w:rPr>
          <w:rFonts w:cs="Arial"/>
          <w:sz w:val="18"/>
          <w:szCs w:val="18"/>
          <w:shd w:val="clear" w:color="auto" w:fill="FFFFFF"/>
        </w:rPr>
        <w:t>Count_Anx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=</w:t>
      </w: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>Anx_1,</w:t>
      </w: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>Anx_2,</w:t>
      </w: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>Anx_3,</w:t>
      </w: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>Anx_4,</w:t>
      </w: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>Anx_5,</w:t>
      </w: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>Anx_6,</w:t>
      </w: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>Anx_7,</w:t>
      </w: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>Anx_8 (3, 4).</w:t>
      </w: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>EXECUTE.</w:t>
      </w: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>IF (</w:t>
      </w:r>
      <w:proofErr w:type="spellStart"/>
      <w:r>
        <w:rPr>
          <w:rFonts w:cs="Arial"/>
          <w:sz w:val="18"/>
          <w:szCs w:val="18"/>
          <w:shd w:val="clear" w:color="auto" w:fill="FFFFFF"/>
        </w:rPr>
        <w:t>CoreAnx_dx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=1) and (</w:t>
      </w:r>
      <w:proofErr w:type="spellStart"/>
      <w:r>
        <w:rPr>
          <w:rFonts w:cs="Arial"/>
          <w:sz w:val="18"/>
          <w:szCs w:val="18"/>
          <w:shd w:val="clear" w:color="auto" w:fill="FFFFFF"/>
        </w:rPr>
        <w:t>Count_Anx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&gt;= 4) and (</w:t>
      </w:r>
      <w:proofErr w:type="spellStart"/>
      <w:r>
        <w:rPr>
          <w:rFonts w:cs="Arial"/>
          <w:sz w:val="18"/>
          <w:szCs w:val="18"/>
          <w:shd w:val="clear" w:color="auto" w:fill="FFFFFF"/>
        </w:rPr>
        <w:t>Anx_impair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=1) </w:t>
      </w:r>
      <w:proofErr w:type="spellStart"/>
      <w:r>
        <w:rPr>
          <w:rFonts w:cs="Arial"/>
          <w:sz w:val="18"/>
          <w:szCs w:val="18"/>
          <w:shd w:val="clear" w:color="auto" w:fill="FFFFFF"/>
        </w:rPr>
        <w:t>ICD_ANX_dx</w:t>
      </w:r>
      <w:proofErr w:type="spellEnd"/>
      <w:r>
        <w:rPr>
          <w:rFonts w:cs="Arial"/>
          <w:sz w:val="18"/>
          <w:szCs w:val="18"/>
          <w:shd w:val="clear" w:color="auto" w:fill="FFFFFF"/>
        </w:rPr>
        <w:t>=1.</w:t>
      </w: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>EXECUTE.</w:t>
      </w: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 xml:space="preserve">RECODE </w:t>
      </w:r>
      <w:proofErr w:type="spellStart"/>
      <w:r>
        <w:rPr>
          <w:rFonts w:cs="Arial"/>
          <w:sz w:val="18"/>
          <w:szCs w:val="18"/>
          <w:shd w:val="clear" w:color="auto" w:fill="FFFFFF"/>
        </w:rPr>
        <w:t>ICD_ANX_dx</w:t>
      </w:r>
      <w:proofErr w:type="spellEnd"/>
      <w:r>
        <w:rPr>
          <w:rFonts w:cs="Arial"/>
          <w:sz w:val="18"/>
          <w:szCs w:val="18"/>
          <w:shd w:val="clear" w:color="auto" w:fill="FFFFFF"/>
        </w:rPr>
        <w:t xml:space="preserve"> (MISSING=0).</w:t>
      </w: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>EXECUTE.</w:t>
      </w: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</w:p>
    <w:p>
      <w:pPr>
        <w:ind w:left="-426"/>
        <w:rPr>
          <w:rFonts w:cs="Arial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>______________________________________________________________________________</w:t>
      </w:r>
    </w:p>
    <w:bookmarkEnd w:id="0"/>
    <w:p>
      <w:pPr>
        <w:rPr>
          <w:rFonts w:cs="Arial"/>
          <w:sz w:val="18"/>
          <w:szCs w:val="18"/>
        </w:rPr>
      </w:pPr>
    </w:p>
    <w:sectPr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F0BB0"/>
    <w:multiLevelType w:val="hybridMultilevel"/>
    <w:tmpl w:val="A3BA9572"/>
    <w:lvl w:ilvl="0" w:tplc="460E19D0">
      <w:start w:val="1"/>
      <w:numFmt w:val="decimal"/>
      <w:lvlText w:val="%1."/>
      <w:lvlJc w:val="left"/>
      <w:pPr>
        <w:ind w:left="739" w:hanging="360"/>
      </w:pPr>
    </w:lvl>
    <w:lvl w:ilvl="1" w:tplc="08090019">
      <w:start w:val="1"/>
      <w:numFmt w:val="lowerLetter"/>
      <w:lvlText w:val="%2."/>
      <w:lvlJc w:val="left"/>
      <w:pPr>
        <w:ind w:left="1459" w:hanging="360"/>
      </w:pPr>
    </w:lvl>
    <w:lvl w:ilvl="2" w:tplc="0809001B">
      <w:start w:val="1"/>
      <w:numFmt w:val="lowerRoman"/>
      <w:lvlText w:val="%3."/>
      <w:lvlJc w:val="right"/>
      <w:pPr>
        <w:ind w:left="2179" w:hanging="180"/>
      </w:pPr>
    </w:lvl>
    <w:lvl w:ilvl="3" w:tplc="0809000F">
      <w:start w:val="1"/>
      <w:numFmt w:val="decimal"/>
      <w:lvlText w:val="%4."/>
      <w:lvlJc w:val="left"/>
      <w:pPr>
        <w:ind w:left="2899" w:hanging="360"/>
      </w:pPr>
    </w:lvl>
    <w:lvl w:ilvl="4" w:tplc="08090019">
      <w:start w:val="1"/>
      <w:numFmt w:val="lowerLetter"/>
      <w:lvlText w:val="%5."/>
      <w:lvlJc w:val="left"/>
      <w:pPr>
        <w:ind w:left="3619" w:hanging="360"/>
      </w:pPr>
    </w:lvl>
    <w:lvl w:ilvl="5" w:tplc="0809001B">
      <w:start w:val="1"/>
      <w:numFmt w:val="lowerRoman"/>
      <w:lvlText w:val="%6."/>
      <w:lvlJc w:val="right"/>
      <w:pPr>
        <w:ind w:left="4339" w:hanging="180"/>
      </w:pPr>
    </w:lvl>
    <w:lvl w:ilvl="6" w:tplc="0809000F">
      <w:start w:val="1"/>
      <w:numFmt w:val="decimal"/>
      <w:lvlText w:val="%7."/>
      <w:lvlJc w:val="left"/>
      <w:pPr>
        <w:ind w:left="5059" w:hanging="360"/>
      </w:pPr>
    </w:lvl>
    <w:lvl w:ilvl="7" w:tplc="08090019">
      <w:start w:val="1"/>
      <w:numFmt w:val="lowerLetter"/>
      <w:lvlText w:val="%8."/>
      <w:lvlJc w:val="left"/>
      <w:pPr>
        <w:ind w:left="5779" w:hanging="360"/>
      </w:pPr>
    </w:lvl>
    <w:lvl w:ilvl="8" w:tplc="0809001B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B28E192-4711-4B0D-B275-392289D28271}"/>
    <w:docVar w:name="dgnword-eventsink" w:val="2810276146224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16ACC-507A-41FF-972E-D3D9AC3B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spacing w:after="3" w:line="480" w:lineRule="auto"/>
      <w:ind w:left="720" w:hanging="10"/>
      <w:contextualSpacing/>
    </w:pPr>
    <w:rPr>
      <w:rFonts w:ascii="Times New Roman" w:hAnsi="Times New Roman"/>
      <w:color w:val="000000"/>
      <w:sz w:val="24"/>
      <w:szCs w:val="22"/>
      <w:lang w:val="en-GB"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GB" w:eastAsia="en-US"/>
    </w:rPr>
  </w:style>
  <w:style w:type="character" w:customStyle="1" w:styleId="author">
    <w:name w:val="author"/>
    <w:basedOn w:val="Absatz-Standardschriftart"/>
  </w:style>
  <w:style w:type="character" w:customStyle="1" w:styleId="pubyear">
    <w:name w:val="pubyear"/>
    <w:basedOn w:val="Absatz-Standardschriftart"/>
  </w:style>
  <w:style w:type="character" w:customStyle="1" w:styleId="articletitle">
    <w:name w:val="articletitle"/>
    <w:basedOn w:val="Absatz-Standardschriftart"/>
  </w:style>
  <w:style w:type="character" w:customStyle="1" w:styleId="pagefirst">
    <w:name w:val="pagefirst"/>
    <w:basedOn w:val="Absatz-Standardschriftart"/>
  </w:style>
  <w:style w:type="character" w:customStyle="1" w:styleId="pagelast">
    <w:name w:val="pagelast"/>
    <w:basedOn w:val="Absatz-Standardschriftart"/>
  </w:style>
  <w:style w:type="table" w:styleId="TabellemithellemGitternetz">
    <w:name w:val="Grid Table Light"/>
    <w:basedOn w:val="NormaleTabelle"/>
    <w:uiPriority w:val="40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icode">
    <w:name w:val="icode"/>
    <w:basedOn w:val="Absatz-Standardschriftart"/>
  </w:style>
  <w:style w:type="character" w:styleId="Hyperlink">
    <w:name w:val="Hyperlink"/>
    <w:basedOn w:val="Absatz-Standardschriftart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aumameasuresglobal.com/anxi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Kratzer Leonhard</dc:creator>
  <cp:keywords/>
  <dc:description/>
  <cp:lastModifiedBy>Kratzer Leonhard</cp:lastModifiedBy>
  <cp:revision>4</cp:revision>
  <dcterms:created xsi:type="dcterms:W3CDTF">2025-04-08T08:31:00Z</dcterms:created>
  <dcterms:modified xsi:type="dcterms:W3CDTF">2025-05-27T11:40:00Z</dcterms:modified>
</cp:coreProperties>
</file>